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3 (GANJIL) — Elemen ke-1 dari Matematika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Matematika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F</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XI</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60 JP = 30 pertemuan × 2 JP @ 45 menit (total 2700 menit) — setara 15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Bilangan</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F,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Bidang kajian Bilangan membahas tentang angka sebagai simbol bilangan, konsep bilangan, operasi hitung bilangan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relasi antara berbagai operasi hitung bilangan dalam sub-elemen representasi visual, sifat urutan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karena dipakai untuk memahami dan menyikapi persoalan nyata di sekitarnya, serta menjadi bekal pada jenjang dan dunia kerja berikutnya.</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Bagian yang umumnya menuntut waktu lebih banyak adalah penerapan konsep pada situasi baru, sehingga disediakan contoh terurai dan latihan bertahap.</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Menjelaskan barisan dan deret (aritmetika dan geometri), menerapkannya pada beragam masalah terutama masalah bunga tunggal dan majemuk</w:t>
            </w:r>
          </w:p>
          <w:p>
            <w:pPr>
              <w:spacing w:after="0" w:before="0"/>
              <w:ind w:left="227"/>
              <w:jc w:val="both"/>
            </w:pPr>
            <w:r>
              <w:rPr>
                <w:rFonts w:ascii="Arial" w:hAnsi="Arial" w:eastAsia="Arial"/>
                <w:b w:val="0"/>
                <w:sz w:val="18"/>
              </w:rPr>
              <w:t>2. Memodelkan pinjaman dan investasi dengan bunga majemuk dan anuitas, serta menyelidiki (secara numerik atau grafis) pengaruh masing-masing parameter (suku bunga, periode…</w:t>
            </w:r>
          </w:p>
          <w:p>
            <w:pPr>
              <w:spacing w:after="0" w:before="0"/>
              <w:ind w:left="227"/>
              <w:jc w:val="both"/>
            </w:pPr>
            <w:r>
              <w:rPr>
                <w:rFonts w:ascii="Arial" w:hAnsi="Arial" w:eastAsia="Arial"/>
                <w:b w:val="0"/>
                <w:sz w:val="18"/>
              </w:rPr>
              <w:t>3. Mengidentifikasi konsep dasar dan istilah kunci pada elemen bilangan</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Bilangan</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Menjelaskan barisan dan deret (aritmetika dan geometri), menerapkannya pada beragam masalah terutama masalah bunga tunggal dan majemuk, memodelkan pinjaman dan investasi dengan bunga majemuk dan anuitas, serta menyelidiki (secara numerik atau grafis) pengaruh masing-masing parameter (suku bunga, periode pembayaran) dalam model tersebut.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IV.1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dan penyajian hasil belajar secara runtut.</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pengolahan data sederhana dan penalaran kuantitatif.</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 digital untuk mencari, mengolah, dan menyajikan informasi.</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penguatan tanggung jawab, kerja sama, dan etika.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1–5</w:t>
            </w:r>
          </w:p>
          <w:p>
            <w:pPr>
              <w:spacing w:after="0" w:before="0"/>
              <w:ind w:left="227"/>
              <w:jc w:val="both"/>
            </w:pPr>
            <w:r>
              <w:rPr>
                <w:rFonts w:ascii="Arial" w:hAnsi="Arial" w:eastAsia="Arial"/>
                <w:b w:val="0"/>
                <w:sz w:val="18"/>
              </w:rPr>
              <w:t>1. Murid mampu menjelaskan deret (aritmetika.</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6–10</w:t>
            </w:r>
          </w:p>
          <w:p>
            <w:pPr>
              <w:spacing w:after="0" w:before="0"/>
              <w:ind w:left="227"/>
              <w:jc w:val="both"/>
            </w:pPr>
            <w:r>
              <w:rPr>
                <w:rFonts w:ascii="Arial" w:hAnsi="Arial" w:eastAsia="Arial"/>
                <w:b w:val="0"/>
                <w:sz w:val="18"/>
              </w:rPr>
              <w:t>2. Murid mampu menjelaskan beragam masalah terutama masalah bunga tunggal.</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11–15</w:t>
            </w:r>
          </w:p>
          <w:p>
            <w:pPr>
              <w:spacing w:after="0" w:before="0"/>
              <w:ind w:left="227"/>
              <w:jc w:val="both"/>
            </w:pPr>
            <w:r>
              <w:rPr>
                <w:rFonts w:ascii="Arial" w:hAnsi="Arial" w:eastAsia="Arial"/>
                <w:b w:val="0"/>
                <w:sz w:val="18"/>
              </w:rPr>
              <w:t>3. Murid mampu menjelaskan investasi dengan bunga majemuk.</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16–20</w:t>
            </w:r>
          </w:p>
          <w:p>
            <w:pPr>
              <w:spacing w:after="0" w:before="0"/>
              <w:ind w:left="227"/>
              <w:jc w:val="both"/>
            </w:pPr>
            <w:r>
              <w:rPr>
                <w:rFonts w:ascii="Arial" w:hAnsi="Arial" w:eastAsia="Arial"/>
                <w:b w:val="0"/>
                <w:sz w:val="18"/>
              </w:rPr>
              <w:t>4. Murid mampu menjelaskan menyelidiki (secara numerik atau grafis) pengaruh masing-masing parameter dalam model tersebut.</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21–25</w:t>
            </w:r>
          </w:p>
          <w:p>
            <w:pPr>
              <w:spacing w:after="0" w:before="0"/>
              <w:ind w:left="227"/>
              <w:jc w:val="both"/>
            </w:pPr>
            <w:r>
              <w:rPr>
                <w:rFonts w:ascii="Arial" w:hAnsi="Arial" w:eastAsia="Arial"/>
                <w:b w:val="0"/>
                <w:sz w:val="18"/>
              </w:rPr>
              <w:t>5. Murid mampu menjelaskan Bidang kajian Bilangan membahas tentang angka sebagai simbol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26–30</w:t>
            </w:r>
          </w:p>
          <w:p>
            <w:pPr>
              <w:spacing w:after="0" w:before="0"/>
              <w:ind w:left="227"/>
              <w:jc w:val="both"/>
            </w:pPr>
            <w:r>
              <w:rPr>
                <w:rFonts w:ascii="Arial" w:hAnsi="Arial" w:eastAsia="Arial"/>
                <w:b w:val="0"/>
                <w:sz w:val="18"/>
              </w:rPr>
              <w:t>6. Murid mampu menjelaskan operasi hitung bilangan.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30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Bidang kajian Bilangan membahas tentang angka sebagai simbol bilangan, konsep bilangan, operasi hitung bilangan</w:t>
            </w:r>
          </w:p>
          <w:p>
            <w:pPr>
              <w:spacing w:after="0" w:before="0"/>
              <w:ind w:left="227"/>
              <w:jc w:val="both"/>
            </w:pPr>
            <w:r>
              <w:rPr>
                <w:rFonts w:ascii="Arial" w:hAnsi="Arial" w:eastAsia="Arial"/>
                <w:b w:val="0"/>
                <w:sz w:val="18"/>
              </w:rPr>
              <w:t>• Dan relasi antara berbagai operasi hitung bilangan dalam sub-elemen representasi visual, sifat urutan</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Inkuiri (Inquiry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Masalah (Problem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tanya jawab dan curah gagasan (brainstorming); diskusi kelompok kecil; penugasan melalui LKPD; presentasi hasil kerja kelompok;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menuntut Murid menggali, mengidentifikasi, dan menganalisis konsep. Tujuan Pembelajaran pada elemen ini didominasi kata kerja operasional “menjelaskan” (level kognitif dominan C2),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mata pelajaran lain untuk penguatan lintas disiplin ilmu, serta pengelola perpustakaan.</w:t>
            </w:r>
          </w:p>
          <w:p>
            <w:pPr>
              <w:spacing w:after="0" w:before="0"/>
              <w:jc w:val="both"/>
            </w:pPr>
            <w:r>
              <w:rPr>
                <w:rFonts w:ascii="Arial" w:hAnsi="Arial" w:eastAsia="Arial"/>
                <w:b/>
                <w:sz w:val="18"/>
              </w:rPr>
              <w:t>Luar sekolah:</w:t>
            </w:r>
            <w:r>
              <w:rPr>
                <w:rFonts w:ascii="Arial" w:hAnsi="Arial" w:eastAsia="Arial"/>
                <w:b w:val="0"/>
                <w:sz w:val="18"/>
              </w:rPr>
              <w:t xml:space="preserve"> MGMP mata pelajaran sebagai forum penyelarasan perangkat ajar, narasumber/praktisi yang relevan dengan topik, serta sumber belajar digital tepercaya.</w:t>
            </w:r>
          </w:p>
          <w:p>
            <w:pPr>
              <w:spacing w:after="0" w:before="0"/>
              <w:jc w:val="both"/>
            </w:pPr>
            <w:r>
              <w:rPr>
                <w:rFonts w:ascii="Arial" w:hAnsi="Arial" w:eastAsia="Arial"/>
                <w:b/>
                <w:sz w:val="18"/>
              </w:rPr>
              <w:t>Masyarakat:</w:t>
            </w:r>
            <w:r>
              <w:rPr>
                <w:rFonts w:ascii="Arial" w:hAnsi="Arial" w:eastAsia="Arial"/>
                <w:b w:val="0"/>
                <w:sz w:val="18"/>
              </w:rPr>
              <w:t xml:space="preserve"> orang tua/wali dan komunitas belajar di lingkungan sekitar sekolah.</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kelas dengan penataan kursi berkelompok, perpustakaan, dan lingkungan sekitar sekolah.</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LCD proyektor &amp; PowerPoint, Alat peraga &amp; KIT laboratorium, Software simulasi (GeoGebra/PhET), Lembar kerja &amp; data eksperimen; penayangan video pembelajaran dan animasi/simulasi proses; pemanfaatan LKPD digital agar Murid dapat mengunggah bukti kerja.</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6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1–5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deret (aritmetika.</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kemudian mengajukan pertanyaan pemantik untuk menghubungkan pengalaman Murid dengan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deret (aritmetika.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deret (aritmetika.</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video, gambar, atau kasus nyata yang dekat dengan pengalaman Murid untuk membangkitkan rasa ingin tahu, lalu bersama Murid menetapkan lingkup deret (aritmetika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deret (aritmetika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modul ajar, sumber digital tepercaya, dan lingkungan sekitar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deret (aritmetika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deret (aritmetika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deret (aritmetika.</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6–10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beragam masalah terutama masalah bunga tunggal.</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beragam masalah terutama masalah bunga tunggal.</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beragam masalah terutama masalah bunga tunggal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beragam masalah terutama masalah bunga tunggal.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beragam masalah terutama masalah bunga tunggal.</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video, gambar, atau kasus nyata yang dekat dengan pengalaman Murid untuk membangkitkan rasa ingin tahu, lalu bersama Murid menetapkan lingkup beragam masalah terutama masalah bunga tunggal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beragam masalah terutama masalah bunga tunggal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modul ajar, sumber digital tepercaya, dan lingkungan sekitar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beragam masalah terutama masalah bunga tunggal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beragam masalah terutama masalah bunga tunggal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beragam masalah terutama masalah bunga tunggal.</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11–15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investasi dengan bunga majemuk.</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investasi dengan bunga majemuk.</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investasi dengan bunga majemuk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investasi dengan bunga majemuk.</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investasi dengan bunga majemuk.</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video, gambar, atau kasus nyata yang dekat dengan pengalaman Murid untuk membangkitkan rasa ingin tahu, lalu bersama Murid menetapkan lingkup investasi dengan bunga majemuk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investasi dengan bunga majemuk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modul ajar, sumber digital tepercaya, dan lingkungan sekitar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investasi dengan bunga majemuk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investasi dengan bunga majemuk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investasi dengan bunga majemuk.</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16–20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menyelidiki (secara numerik atau grafis) pengaruh masing-masing parameter dalam model tersebut.</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menyelidiki (secara numerik atau grafis) pengaruh masing-masing parameter dalam model tersebut.</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menyelidiki (secara numerik atau grafis) pengaruh masing-masing parameter dalam model tersebut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menyelidiki (secara numerik atau grafis) pengaruh masing-masing parameter dalam model tersebut.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menyelidiki (secara numerik atau grafis) pengaruh masing-masing parameter dalam model tersebut.</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video, gambar, atau kasus nyata yang dekat dengan pengalaman Murid untuk membangkitkan rasa ingin tahu, lalu bersama Murid menetapkan lingkup menyelidiki (secara numerik atau grafis) pengaruh masing-masing parameter dalam model tersebut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menyelidiki (secara numerik atau grafis) pengaruh masing-masing parameter dalam model tersebut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modul ajar, sumber digital tepercaya, dan lingkungan sekitar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menyelidiki (secara numerik atau grafis) pengaruh masing-masing parameter dalam model tersebut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menyelidiki (secara numerik atau grafis) pengaruh masing-masing parameter dalam model tersebut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menyelidiki (secara numerik atau grafis) pengaruh masing-masing parameter dalam model tersebut.</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ke-5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21–25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Bidang kajian Bilangan membahas tentang angka sebagai simbol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ke-4, membahas kekeliruan yang masih muncul, lalu mengaitkannya dengan Bidang kajian Bilangan membahas tentang angka sebagai simbol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Bidang kajian Bilangan membahas tentang angka sebagai simbol bilangan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Bidang kajian Bilangan membahas tentang angka sebagai simbol bilangan.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Bidang kajian Bilangan membahas tentang angka sebagai simbol bilangan.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video, gambar, atau kasus nyata yang dekat dengan pengalaman Murid untuk membangkitkan rasa ingin tahu, lalu bersama Murid menetapkan lingkup Bidang kajian Bilangan membahas tentang angka sebagai simbol bilangan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Bidang kajian Bilangan membahas tentang angka sebagai simbol bilangan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modul ajar, sumber digital tepercaya, dan lingkungan sekitar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Bidang kajian Bilangan membahas tentang angka sebagai simbol bilangan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Bidang kajian Bilangan membahas tentang angka sebagai simbol bilangan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Bidang kajian Bilangan membahas tentang angka sebagai simbol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ke-6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26–30 dari 6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operasi hitung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ke-5, membahas kekeliruan yang masih muncul, lalu mengaitkannya dengan operasi hitung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gambar, atau kasus nyata yang dekat dengan pengalaman Murid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operasi hitung bilangan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operasi hitung bilangan.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operasi hitung bilangan.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video, gambar, atau kasus nyata yang dekat dengan pengalaman Murid untuk membangkitkan rasa ingin tahu, lalu bersama Murid menetapkan lingkup operasi hitung bilangan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operasi hitung bilangan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modul ajar, sumber digital tepercaya, dan lingkungan sekitar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operasi hitung bilangan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operasi hitung bilangan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operasi hitung bilangan.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tes tertulis bentuk pilihan ganda dan uraian, dilengkapi penilaian portofolio hasil belajar.</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IV.1 Keputusan Kepala Badan Standar, Kurikulum, dan Asesmen Pendidikan Nomor 046/H/KR/2025 tentang Capaian Pembelajaran. Alokasi waktu pada RPM ini (60 JP = 30 pertemuan × 2 JP, setara 15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Matematika — Kelas XI — Bilangan</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bidang kajian bilangan membahas tentang angka sebagai simbol…?</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relasi antara berbagai operasi hitung bilangan dalam sub-elemen…?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bidang kajian bilangan membahas tentang angka sebagai simbol…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relasi antara berbagai operasi hitung bilangan dalam sub-elemen…?</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bidang kajian bilangan membahas tentang angka sebagai simbol…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dan prinsip bilangan dengan benar.</w:t>
            </w:r>
          </w:p>
        </w:tc>
        <w:tc>
          <w:tcPr>
            <w:tcW w:type="dxa" w:w="1644"/>
          </w:tcPr>
          <w:p>
            <w:pPr>
              <w:spacing w:after="0" w:before="0"/>
              <w:jc w:val="left"/>
            </w:pPr>
            <w:r>
              <w:rPr>
                <w:rFonts w:ascii="Arial" w:hAnsi="Arial" w:eastAsia="Arial"/>
                <w:b w:val="0"/>
                <w:sz w:val="16"/>
              </w:rPr>
              <w:t>Menjelaskan seluruh konsep kunci dengan tepat dan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Penalaran kritis</w:t>
            </w:r>
          </w:p>
          <w:p>
            <w:pPr>
              <w:spacing w:after="0" w:before="0"/>
              <w:jc w:val="left"/>
            </w:pPr>
            <w:r>
              <w:rPr>
                <w:rFonts w:ascii="Arial" w:hAnsi="Arial" w:eastAsia="Arial"/>
                <w:b w:val="0"/>
                <w:sz w:val="16"/>
              </w:rPr>
              <w:t>Menganalisis informasi, memberi alasan, dan menarik kesimpulan berbasis bukti.</w:t>
            </w:r>
          </w:p>
        </w:tc>
        <w:tc>
          <w:tcPr>
            <w:tcW w:type="dxa" w:w="1644"/>
          </w:tcPr>
          <w:p>
            <w:pPr>
              <w:spacing w:after="0" w:before="0"/>
              <w:jc w:val="left"/>
            </w:pPr>
            <w:r>
              <w:rPr>
                <w:rFonts w:ascii="Arial" w:hAnsi="Arial" w:eastAsia="Arial"/>
                <w:b w:val="0"/>
                <w:sz w:val="16"/>
              </w:rPr>
              <w:t>Analisis tajam, alasan kuat, kesimpulan didukung bukti lengkap.</w:t>
            </w:r>
          </w:p>
        </w:tc>
        <w:tc>
          <w:tcPr>
            <w:tcW w:type="dxa" w:w="1644"/>
          </w:tcPr>
          <w:p>
            <w:pPr>
              <w:spacing w:after="0" w:before="0"/>
              <w:jc w:val="left"/>
            </w:pPr>
            <w:r>
              <w:rPr>
                <w:rFonts w:ascii="Arial" w:hAnsi="Arial" w:eastAsia="Arial"/>
                <w:b w:val="0"/>
                <w:sz w:val="16"/>
              </w:rPr>
              <w:t>Analisis tepat dan kesimpulan didukung bukti.</w:t>
            </w:r>
          </w:p>
        </w:tc>
        <w:tc>
          <w:tcPr>
            <w:tcW w:type="dxa" w:w="1644"/>
          </w:tcPr>
          <w:p>
            <w:pPr>
              <w:spacing w:after="0" w:before="0"/>
              <w:jc w:val="left"/>
            </w:pPr>
            <w:r>
              <w:rPr>
                <w:rFonts w:ascii="Arial" w:hAnsi="Arial" w:eastAsia="Arial"/>
                <w:b w:val="0"/>
                <w:sz w:val="16"/>
              </w:rPr>
              <w:t>Analisis masih dangkal, bukti belum lengkap.</w:t>
            </w:r>
          </w:p>
        </w:tc>
        <w:tc>
          <w:tcPr>
            <w:tcW w:type="dxa" w:w="1587"/>
          </w:tcPr>
          <w:p>
            <w:pPr>
              <w:spacing w:after="0" w:before="0"/>
              <w:jc w:val="left"/>
            </w:pPr>
            <w:r>
              <w:rPr>
                <w:rFonts w:ascii="Arial" w:hAnsi="Arial" w:eastAsia="Arial"/>
                <w:b w:val="0"/>
                <w:sz w:val="16"/>
              </w:rPr>
              <w:t>Belum menunjukkan analisis dan alasan yang jelas.</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Kolaborasi dan kemandirian</w:t>
            </w:r>
          </w:p>
          <w:p>
            <w:pPr>
              <w:spacing w:after="0" w:before="0"/>
              <w:jc w:val="left"/>
            </w:pPr>
            <w:r>
              <w:rPr>
                <w:rFonts w:ascii="Arial" w:hAnsi="Arial" w:eastAsia="Arial"/>
                <w:b w:val="0"/>
                <w:sz w:val="16"/>
              </w:rPr>
              <w:t>Bekerja sama secara aktif, menyelesaikan bagian tugasnya, dan tepat waktu.</w:t>
            </w:r>
          </w:p>
        </w:tc>
        <w:tc>
          <w:tcPr>
            <w:tcW w:type="dxa" w:w="1644"/>
          </w:tcPr>
          <w:p>
            <w:pPr>
              <w:spacing w:after="0" w:before="0"/>
              <w:jc w:val="left"/>
            </w:pPr>
            <w:r>
              <w:rPr>
                <w:rFonts w:ascii="Arial" w:hAnsi="Arial" w:eastAsia="Arial"/>
                <w:b w:val="0"/>
                <w:sz w:val="16"/>
              </w:rPr>
              <w:t>Sangat aktif, membantu teman, dan menuntaskan tugas sebelum waktunya.</w:t>
            </w:r>
          </w:p>
        </w:tc>
        <w:tc>
          <w:tcPr>
            <w:tcW w:type="dxa" w:w="1644"/>
          </w:tcPr>
          <w:p>
            <w:pPr>
              <w:spacing w:after="0" w:before="0"/>
              <w:jc w:val="left"/>
            </w:pPr>
            <w:r>
              <w:rPr>
                <w:rFonts w:ascii="Arial" w:hAnsi="Arial" w:eastAsia="Arial"/>
                <w:b w:val="0"/>
                <w:sz w:val="16"/>
              </w:rPr>
              <w:t>Aktif bekerja sama dan menuntaskan tugas tepat waktu.</w:t>
            </w:r>
          </w:p>
        </w:tc>
        <w:tc>
          <w:tcPr>
            <w:tcW w:type="dxa" w:w="1644"/>
          </w:tcPr>
          <w:p>
            <w:pPr>
              <w:spacing w:after="0" w:before="0"/>
              <w:jc w:val="left"/>
            </w:pPr>
            <w:r>
              <w:rPr>
                <w:rFonts w:ascii="Arial" w:hAnsi="Arial" w:eastAsia="Arial"/>
                <w:b w:val="0"/>
                <w:sz w:val="16"/>
              </w:rPr>
              <w:t>Terlibat sebagian dan tugas selesai terlambat.</w:t>
            </w:r>
          </w:p>
        </w:tc>
        <w:tc>
          <w:tcPr>
            <w:tcW w:type="dxa" w:w="1587"/>
          </w:tcPr>
          <w:p>
            <w:pPr>
              <w:spacing w:after="0" w:before="0"/>
              <w:jc w:val="left"/>
            </w:pPr>
            <w:r>
              <w:rPr>
                <w:rFonts w:ascii="Arial" w:hAnsi="Arial" w:eastAsia="Arial"/>
                <w:b w:val="0"/>
                <w:sz w:val="16"/>
              </w:rPr>
              <w:t>Kurang terlibat dan tugas belum selesai.</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secara runtut, santun, dan mudah dipahami.</w:t>
            </w:r>
          </w:p>
        </w:tc>
        <w:tc>
          <w:tcPr>
            <w:tcW w:type="dxa" w:w="1644"/>
          </w:tcPr>
          <w:p>
            <w:pPr>
              <w:spacing w:after="0" w:before="0"/>
              <w:jc w:val="left"/>
            </w:pPr>
            <w:r>
              <w:rPr>
                <w:rFonts w:ascii="Arial" w:hAnsi="Arial" w:eastAsia="Arial"/>
                <w:b w:val="0"/>
                <w:sz w:val="16"/>
              </w:rPr>
              <w:t>Penyajian runtut, jelas, dan menanggapi pertanyaan dengan baik.</w:t>
            </w:r>
          </w:p>
        </w:tc>
        <w:tc>
          <w:tcPr>
            <w:tcW w:type="dxa" w:w="1644"/>
          </w:tcPr>
          <w:p>
            <w:pPr>
              <w:spacing w:after="0" w:before="0"/>
              <w:jc w:val="left"/>
            </w:pPr>
            <w:r>
              <w:rPr>
                <w:rFonts w:ascii="Arial" w:hAnsi="Arial" w:eastAsia="Arial"/>
                <w:b w:val="0"/>
                <w:sz w:val="16"/>
              </w:rPr>
              <w:t>Penyajian runtut dan jelas.</w:t>
            </w:r>
          </w:p>
        </w:tc>
        <w:tc>
          <w:tcPr>
            <w:tcW w:type="dxa" w:w="1644"/>
          </w:tcPr>
          <w:p>
            <w:pPr>
              <w:spacing w:after="0" w:before="0"/>
              <w:jc w:val="left"/>
            </w:pPr>
            <w:r>
              <w:rPr>
                <w:rFonts w:ascii="Arial" w:hAnsi="Arial" w:eastAsia="Arial"/>
                <w:b w:val="0"/>
                <w:sz w:val="16"/>
              </w:rPr>
              <w:t>Penyajian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Tes Tertulis dan Penilaian Portofolio (pilihan ganda + uraian).</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menjelaskan deret (aritmetika.</w:t>
            </w:r>
          </w:p>
        </w:tc>
        <w:tc>
          <w:tcPr>
            <w:tcW w:type="dxa" w:w="3061"/>
          </w:tcPr>
          <w:p>
            <w:pPr>
              <w:spacing w:after="0" w:before="0"/>
              <w:jc w:val="left"/>
            </w:pPr>
            <w:r>
              <w:rPr>
                <w:rFonts w:ascii="Arial" w:hAnsi="Arial" w:eastAsia="Arial"/>
                <w:b w:val="0"/>
                <w:sz w:val="16"/>
              </w:rPr>
              <w:t>Murid dapat menjelaskan deret (aritmetika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menjelaskan beragam masalah terutama masalah bunga tunggal.</w:t>
            </w:r>
          </w:p>
        </w:tc>
        <w:tc>
          <w:tcPr>
            <w:tcW w:type="dxa" w:w="3061"/>
          </w:tcPr>
          <w:p>
            <w:pPr>
              <w:spacing w:after="0" w:before="0"/>
              <w:jc w:val="left"/>
            </w:pPr>
            <w:r>
              <w:rPr>
                <w:rFonts w:ascii="Arial" w:hAnsi="Arial" w:eastAsia="Arial"/>
                <w:b w:val="0"/>
                <w:sz w:val="16"/>
              </w:rPr>
              <w:t>Murid dapat menjelaskan beragam masalah terutama masalah bunga tunggal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menjelaskan investasi dengan bunga majemuk.</w:t>
            </w:r>
          </w:p>
        </w:tc>
        <w:tc>
          <w:tcPr>
            <w:tcW w:type="dxa" w:w="3061"/>
          </w:tcPr>
          <w:p>
            <w:pPr>
              <w:spacing w:after="0" w:before="0"/>
              <w:jc w:val="left"/>
            </w:pPr>
            <w:r>
              <w:rPr>
                <w:rFonts w:ascii="Arial" w:hAnsi="Arial" w:eastAsia="Arial"/>
                <w:b w:val="0"/>
                <w:sz w:val="16"/>
              </w:rPr>
              <w:t>Murid dapat menjelaskan investasi dengan bunga majemuk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menjelaskan menyelidiki (secara numerik atau grafis) pengaruh masing-masing parameter dalam model tersebut.</w:t>
            </w:r>
          </w:p>
        </w:tc>
        <w:tc>
          <w:tcPr>
            <w:tcW w:type="dxa" w:w="3061"/>
          </w:tcPr>
          <w:p>
            <w:pPr>
              <w:spacing w:after="0" w:before="0"/>
              <w:jc w:val="left"/>
            </w:pPr>
            <w:r>
              <w:rPr>
                <w:rFonts w:ascii="Arial" w:hAnsi="Arial" w:eastAsia="Arial"/>
                <w:b w:val="0"/>
                <w:sz w:val="16"/>
              </w:rPr>
              <w:t>Murid dapat menjelaskan menyelidiki (secara numerik atau grafis) pengaruh masing-masing parameter dalam model tersebut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menjelaskan Bidang kajian Bilangan membahas tentang angka sebagai simbol bilangan.</w:t>
            </w:r>
          </w:p>
        </w:tc>
        <w:tc>
          <w:tcPr>
            <w:tcW w:type="dxa" w:w="3061"/>
          </w:tcPr>
          <w:p>
            <w:pPr>
              <w:spacing w:after="0" w:before="0"/>
              <w:jc w:val="left"/>
            </w:pPr>
            <w:r>
              <w:rPr>
                <w:rFonts w:ascii="Arial" w:hAnsi="Arial" w:eastAsia="Arial"/>
                <w:b w:val="0"/>
                <w:sz w:val="16"/>
              </w:rPr>
              <w:t>Murid dapat menjelaskan Bidang kajian Bilangan membahas tentang angka sebagai simbol bilangan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menjelaskan operasi hitung bilangan.</w:t>
            </w:r>
          </w:p>
        </w:tc>
        <w:tc>
          <w:tcPr>
            <w:tcW w:type="dxa" w:w="3061"/>
          </w:tcPr>
          <w:p>
            <w:pPr>
              <w:spacing w:after="0" w:before="0"/>
              <w:jc w:val="left"/>
            </w:pPr>
            <w:r>
              <w:rPr>
                <w:rFonts w:ascii="Arial" w:hAnsi="Arial" w:eastAsia="Arial"/>
                <w:b w:val="0"/>
                <w:sz w:val="16"/>
              </w:rPr>
              <w:t>Murid dapat menjelaskan operasi hitung bilangan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Jelaskan deret (aritmetika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Jelaskan beragam masalah terutama masalah bunga tunggal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Jelaskan investasi dengan bunga majemuk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Jelaskan menyelidiki (secara numerik atau grafis) pengaruh masing-masing parameter dalam model tersebut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Jelaskan Bidang kajian Bilangan membahas tentang angka sebagai simbol bilangan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Jelaskan operasi hitung bilangan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